
<file path=[Content_Types].xml><?xml version="1.0" encoding="utf-8"?>
<Types xmlns="http://schemas.openxmlformats.org/package/2006/content-types">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_rels/item1.xml.rels" ContentType="application/vnd.openxmlformats-package.relationships+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1.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color w:val="FF0000"/>
          <w:sz w:val="24"/>
          <w:szCs w:val="24"/>
        </w:rPr>
      </w:pPr>
      <w:r>
        <mc:AlternateContent>
          <mc:Choice Requires="wps">
            <w:drawing>
              <wp:anchor behindDoc="0" distT="0" distB="0" distL="114300" distR="114300" simplePos="0" locked="0" layoutInCell="1" allowOverlap="1" relativeHeight="2">
                <wp:simplePos x="0" y="0"/>
                <wp:positionH relativeFrom="column">
                  <wp:posOffset>0</wp:posOffset>
                </wp:positionH>
                <wp:positionV relativeFrom="paragraph">
                  <wp:posOffset>-68580</wp:posOffset>
                </wp:positionV>
                <wp:extent cx="2643505" cy="1141095"/>
                <wp:effectExtent l="0" t="0" r="5080" b="2540"/>
                <wp:wrapNone/>
                <wp:docPr id="1" name="Text Box 2"/>
                <a:graphic xmlns:a="http://schemas.openxmlformats.org/drawingml/2006/main">
                  <a:graphicData uri="http://schemas.microsoft.com/office/word/2010/wordprocessingShape">
                    <wps:wsp>
                      <wps:cNvSpPr/>
                      <wps:spPr>
                        <a:xfrm>
                          <a:off x="0" y="0"/>
                          <a:ext cx="2642760" cy="1140480"/>
                        </a:xfrm>
                        <a:prstGeom prst="rect">
                          <a:avLst/>
                        </a:prstGeom>
                        <a:solidFill>
                          <a:srgbClr val="ffffff"/>
                        </a:solidFill>
                        <a:ln w="28440">
                          <a:noFill/>
                        </a:ln>
                      </wps:spPr>
                      <wps:style>
                        <a:lnRef idx="0"/>
                        <a:fillRef idx="0"/>
                        <a:effectRef idx="0"/>
                        <a:fontRef idx="minor"/>
                      </wps:style>
                      <wps:txbx>
                        <w:txbxContent>
                          <w:p>
                            <w:pPr>
                              <w:pStyle w:val="FrameContents"/>
                              <w:spacing w:lineRule="auto" w:line="240" w:before="0" w:after="0"/>
                              <w:jc w:val="center"/>
                              <w:rPr>
                                <w:color w:val="333399"/>
                                <w:sz w:val="24"/>
                                <w:szCs w:val="24"/>
                                <w:lang w:val="en-US"/>
                              </w:rPr>
                            </w:pPr>
                            <w:r>
                              <w:rPr/>
                              <w:drawing>
                                <wp:inline distT="0" distB="9525" distL="0" distR="9525">
                                  <wp:extent cx="409575" cy="409575"/>
                                  <wp:effectExtent l="0" t="0" r="0" b="0"/>
                                  <wp:docPr id="3"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
                                          <pic:cNvPicPr>
                                            <a:picLocks noChangeAspect="1" noChangeArrowheads="1"/>
                                          </pic:cNvPicPr>
                                        </pic:nvPicPr>
                                        <pic:blipFill>
                                          <a:blip r:embed="rId2"/>
                                          <a:stretch>
                                            <a:fillRect/>
                                          </a:stretch>
                                        </pic:blipFill>
                                        <pic:spPr bwMode="auto">
                                          <a:xfrm>
                                            <a:off x="0" y="0"/>
                                            <a:ext cx="409575" cy="409575"/>
                                          </a:xfrm>
                                          <a:prstGeom prst="rect">
                                            <a:avLst/>
                                          </a:prstGeom>
                                        </pic:spPr>
                                      </pic:pic>
                                    </a:graphicData>
                                  </a:graphic>
                                </wp:inline>
                              </w:drawing>
                            </w:r>
                          </w:p>
                          <w:p>
                            <w:pPr>
                              <w:pStyle w:val="FrameContents"/>
                              <w:spacing w:lineRule="auto" w:line="240" w:before="0" w:after="0"/>
                              <w:jc w:val="center"/>
                              <w:rPr>
                                <w:rFonts w:cs="Calibri"/>
                                <w:color w:val="4F81BD"/>
                              </w:rPr>
                            </w:pPr>
                            <w:r>
                              <w:rPr>
                                <w:rFonts w:cs="Calibri"/>
                                <w:color w:val="4F81BD"/>
                              </w:rPr>
                              <w:t>ΕΛΛΗΝΙΚΗ ΔΗΜΟΚΡΑΤΙΑ</w:t>
                            </w:r>
                          </w:p>
                          <w:p>
                            <w:pPr>
                              <w:pStyle w:val="FrameContents"/>
                              <w:spacing w:lineRule="auto" w:line="240" w:before="0" w:after="0"/>
                              <w:jc w:val="center"/>
                              <w:rPr>
                                <w:rFonts w:cs="Calibri"/>
                                <w:color w:val="4F81BD"/>
                              </w:rPr>
                            </w:pPr>
                            <w:r>
                              <w:rPr>
                                <w:rFonts w:cs="Calibri"/>
                                <w:color w:val="4F81BD"/>
                              </w:rPr>
                              <w:t>ΥΠΟΥΡΓΕΙΟ ΠΟΛΙΤΙΣΜΟΥ ΚΑΙ ΑΘΛΗΤΙΣΜΟΥ</w:t>
                            </w:r>
                          </w:p>
                          <w:p>
                            <w:pPr>
                              <w:pStyle w:val="FrameContents"/>
                              <w:spacing w:lineRule="auto" w:line="240" w:before="0" w:after="0"/>
                              <w:jc w:val="center"/>
                              <w:rPr>
                                <w:color w:val="4F81BD"/>
                              </w:rPr>
                            </w:pPr>
                            <w:r>
                              <w:rPr>
                                <w:rFonts w:cs="Calibri"/>
                                <w:color w:val="4F81BD"/>
                              </w:rPr>
                              <w:t xml:space="preserve">ΓΡΑΦΕΙΟ ΤΥΠΟΥ </w:t>
                            </w:r>
                          </w:p>
                          <w:p>
                            <w:pPr>
                              <w:pStyle w:val="FrameContents"/>
                              <w:spacing w:lineRule="auto" w:line="240" w:before="0" w:after="0"/>
                              <w:jc w:val="center"/>
                              <w:rPr/>
                            </w:pPr>
                            <w:r>
                              <w:rPr>
                                <w:color w:val="4F81BD"/>
                                <w:sz w:val="20"/>
                                <w:szCs w:val="20"/>
                              </w:rPr>
                              <w:t>------</w:t>
                            </w:r>
                          </w:p>
                        </w:txbxContent>
                      </wps:txbx>
                      <wps:bodyPr lIns="90000" rIns="90000" tIns="45000" bIns="45000">
                        <a:noAutofit/>
                      </wps:bodyPr>
                    </wps:wsp>
                  </a:graphicData>
                </a:graphic>
              </wp:anchor>
            </w:drawing>
          </mc:Choice>
          <mc:Fallback>
            <w:pict>
              <v:rect id="shape_0" ID="Text Box 2" fillcolor="white" stroked="f" style="position:absolute;margin-left:0pt;margin-top:-5.4pt;width:208.05pt;height:89.75pt">
                <w10:wrap type="square"/>
                <v:fill o:detectmouseclick="t" type="solid" color2="black"/>
                <v:stroke color="#3465a4" weight="28440" joinstyle="round" endcap="flat"/>
                <v:textbox>
                  <w:txbxContent>
                    <w:p>
                      <w:pPr>
                        <w:pStyle w:val="FrameContents"/>
                        <w:spacing w:lineRule="auto" w:line="240" w:before="0" w:after="0"/>
                        <w:jc w:val="center"/>
                        <w:rPr>
                          <w:color w:val="333399"/>
                          <w:sz w:val="24"/>
                          <w:szCs w:val="24"/>
                          <w:lang w:val="en-US"/>
                        </w:rPr>
                      </w:pPr>
                      <w:r>
                        <w:rPr/>
                        <w:drawing>
                          <wp:inline distT="0" distB="9525" distL="0" distR="9525">
                            <wp:extent cx="409575" cy="409575"/>
                            <wp:effectExtent l="0" t="0" r="0" b="0"/>
                            <wp:docPr id="4"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ED"/>
                                    <pic:cNvPicPr>
                                      <a:picLocks noChangeAspect="1" noChangeArrowheads="1"/>
                                    </pic:cNvPicPr>
                                  </pic:nvPicPr>
                                  <pic:blipFill>
                                    <a:blip r:embed="rId2"/>
                                    <a:stretch>
                                      <a:fillRect/>
                                    </a:stretch>
                                  </pic:blipFill>
                                  <pic:spPr bwMode="auto">
                                    <a:xfrm>
                                      <a:off x="0" y="0"/>
                                      <a:ext cx="409575" cy="409575"/>
                                    </a:xfrm>
                                    <a:prstGeom prst="rect">
                                      <a:avLst/>
                                    </a:prstGeom>
                                  </pic:spPr>
                                </pic:pic>
                              </a:graphicData>
                            </a:graphic>
                          </wp:inline>
                        </w:drawing>
                      </w:r>
                    </w:p>
                    <w:p>
                      <w:pPr>
                        <w:pStyle w:val="FrameContents"/>
                        <w:spacing w:lineRule="auto" w:line="240" w:before="0" w:after="0"/>
                        <w:jc w:val="center"/>
                        <w:rPr>
                          <w:rFonts w:cs="Calibri"/>
                          <w:color w:val="4F81BD"/>
                        </w:rPr>
                      </w:pPr>
                      <w:r>
                        <w:rPr>
                          <w:rFonts w:cs="Calibri"/>
                          <w:color w:val="4F81BD"/>
                        </w:rPr>
                        <w:t>ΕΛΛΗΝΙΚΗ ΔΗΜΟΚΡΑΤΙΑ</w:t>
                      </w:r>
                    </w:p>
                    <w:p>
                      <w:pPr>
                        <w:pStyle w:val="FrameContents"/>
                        <w:spacing w:lineRule="auto" w:line="240" w:before="0" w:after="0"/>
                        <w:jc w:val="center"/>
                        <w:rPr>
                          <w:rFonts w:cs="Calibri"/>
                          <w:color w:val="4F81BD"/>
                        </w:rPr>
                      </w:pPr>
                      <w:r>
                        <w:rPr>
                          <w:rFonts w:cs="Calibri"/>
                          <w:color w:val="4F81BD"/>
                        </w:rPr>
                        <w:t>ΥΠΟΥΡΓΕΙΟ ΠΟΛΙΤΙΣΜΟΥ ΚΑΙ ΑΘΛΗΤΙΣΜΟΥ</w:t>
                      </w:r>
                    </w:p>
                    <w:p>
                      <w:pPr>
                        <w:pStyle w:val="FrameContents"/>
                        <w:spacing w:lineRule="auto" w:line="240" w:before="0" w:after="0"/>
                        <w:jc w:val="center"/>
                        <w:rPr>
                          <w:color w:val="4F81BD"/>
                        </w:rPr>
                      </w:pPr>
                      <w:r>
                        <w:rPr>
                          <w:rFonts w:cs="Calibri"/>
                          <w:color w:val="4F81BD"/>
                        </w:rPr>
                        <w:t xml:space="preserve">ΓΡΑΦΕΙΟ ΤΥΠΟΥ </w:t>
                      </w:r>
                    </w:p>
                    <w:p>
                      <w:pPr>
                        <w:pStyle w:val="FrameContents"/>
                        <w:spacing w:lineRule="auto" w:line="240" w:before="0" w:after="0"/>
                        <w:jc w:val="center"/>
                        <w:rPr/>
                      </w:pPr>
                      <w:r>
                        <w:rPr>
                          <w:color w:val="4F81BD"/>
                          <w:sz w:val="20"/>
                          <w:szCs w:val="20"/>
                        </w:rPr>
                        <w:t>------</w:t>
                      </w:r>
                    </w:p>
                  </w:txbxContent>
                </v:textbox>
              </v:rect>
            </w:pict>
          </mc:Fallback>
        </mc:AlternateContent>
      </w:r>
      <w:r>
        <w:rPr>
          <w:rFonts w:cs="Calibri"/>
          <w:color w:val="FF0000"/>
          <w:sz w:val="24"/>
          <w:szCs w:val="24"/>
        </w:rPr>
        <w:t xml:space="preserve">5 </w:t>
      </w:r>
    </w:p>
    <w:p>
      <w:pPr>
        <w:pStyle w:val="Normal"/>
        <w:jc w:val="center"/>
        <w:rPr>
          <w:rFonts w:ascii="Calibri" w:hAnsi="Calibri" w:cs="Calibri"/>
          <w:sz w:val="24"/>
          <w:szCs w:val="24"/>
        </w:rPr>
      </w:pPr>
      <w:r>
        <w:rPr>
          <w:rFonts w:cs="Calibri"/>
          <w:sz w:val="24"/>
          <w:szCs w:val="24"/>
        </w:rPr>
      </w:r>
    </w:p>
    <w:p>
      <w:pPr>
        <w:pStyle w:val="Normal"/>
        <w:ind w:left="-284" w:hanging="0"/>
        <w:jc w:val="center"/>
        <w:rPr>
          <w:rFonts w:ascii="Calibri" w:hAnsi="Calibri" w:cs="Calibri"/>
          <w:sz w:val="24"/>
          <w:szCs w:val="24"/>
        </w:rPr>
      </w:pPr>
      <w:r>
        <w:rPr>
          <w:rFonts w:cs="Calibri"/>
          <w:sz w:val="24"/>
          <w:szCs w:val="24"/>
        </w:rPr>
      </w:r>
    </w:p>
    <w:p>
      <w:pPr>
        <w:pStyle w:val="Normal"/>
        <w:spacing w:before="60" w:after="200"/>
        <w:jc w:val="center"/>
        <w:rPr>
          <w:rFonts w:ascii="Calibri" w:hAnsi="Calibri" w:cs="Calibri"/>
          <w:sz w:val="24"/>
          <w:szCs w:val="24"/>
        </w:rPr>
      </w:pPr>
      <w:r>
        <w:rPr>
          <w:rFonts w:cs="Calibri"/>
          <w:sz w:val="24"/>
          <w:szCs w:val="24"/>
        </w:rPr>
      </w:r>
    </w:p>
    <w:p>
      <w:pPr>
        <w:pStyle w:val="1"/>
        <w:spacing w:lineRule="auto" w:line="276" w:before="0" w:afterAutospacing="0" w:after="200"/>
        <w:jc w:val="right"/>
        <w:rPr>
          <w:rFonts w:ascii="Calibri" w:hAnsi="Calibri" w:cs="Calibri"/>
          <w:sz w:val="24"/>
          <w:szCs w:val="24"/>
        </w:rPr>
      </w:pPr>
      <w:r>
        <w:rPr/>
      </w:r>
    </w:p>
    <w:p>
      <w:pPr>
        <w:pStyle w:val="1"/>
        <w:spacing w:lineRule="auto" w:line="276" w:before="0" w:afterAutospacing="0" w:after="200"/>
        <w:jc w:val="right"/>
        <w:rPr/>
      </w:pPr>
      <w:r>
        <w:rPr>
          <w:rFonts w:cs="Calibri" w:ascii="Calibri" w:hAnsi="Calibri"/>
          <w:sz w:val="24"/>
          <w:szCs w:val="24"/>
        </w:rPr>
        <w:t xml:space="preserve">Αθήνα, </w:t>
      </w:r>
      <w:r>
        <w:rPr>
          <w:rFonts w:cs="Calibri" w:ascii="Calibri" w:hAnsi="Calibri"/>
          <w:sz w:val="24"/>
          <w:szCs w:val="24"/>
          <w:lang w:val="en-US"/>
        </w:rPr>
        <w:t>23</w:t>
      </w:r>
      <w:r>
        <w:rPr>
          <w:rFonts w:cs="Calibri" w:ascii="Calibri" w:hAnsi="Calibri"/>
          <w:sz w:val="24"/>
          <w:szCs w:val="24"/>
        </w:rPr>
        <w:t xml:space="preserve"> Οκτωβρίου 2018</w:t>
      </w:r>
    </w:p>
    <w:p>
      <w:pPr>
        <w:pStyle w:val="1"/>
        <w:spacing w:lineRule="auto" w:line="276" w:before="0" w:afterAutospacing="0" w:after="200"/>
        <w:jc w:val="right"/>
        <w:rPr>
          <w:rFonts w:ascii="Calibri" w:hAnsi="Calibri" w:cs="Calibri"/>
          <w:sz w:val="24"/>
          <w:szCs w:val="24"/>
        </w:rPr>
      </w:pPr>
      <w:r>
        <w:rPr>
          <w:rFonts w:cs="Calibri" w:ascii="Calibri" w:hAnsi="Calibri"/>
          <w:sz w:val="24"/>
          <w:szCs w:val="24"/>
        </w:rPr>
      </w:r>
    </w:p>
    <w:p>
      <w:pPr>
        <w:pStyle w:val="Normal"/>
        <w:jc w:val="center"/>
        <w:rPr>
          <w:rFonts w:ascii="Calibri" w:hAnsi="Calibri" w:cs="Calibri"/>
          <w:b/>
          <w:b/>
          <w:bCs/>
          <w:sz w:val="28"/>
          <w:szCs w:val="28"/>
          <w:lang w:val="el-GR"/>
        </w:rPr>
      </w:pPr>
      <w:r>
        <w:rPr>
          <w:rFonts w:cs="Calibri"/>
          <w:b/>
          <w:bCs/>
          <w:sz w:val="28"/>
          <w:szCs w:val="28"/>
          <w:lang w:val="el-GR"/>
        </w:rPr>
        <w:t>ΔΕΛΤΙΟ ΤΥΠΟΥ</w:t>
      </w:r>
    </w:p>
    <w:p>
      <w:pPr>
        <w:pStyle w:val="Normal"/>
        <w:spacing w:lineRule="auto" w:line="360" w:before="0" w:after="200"/>
        <w:jc w:val="center"/>
        <w:rPr>
          <w:rFonts w:ascii="Calibri" w:hAnsi="Calibri" w:cs="Calibri"/>
          <w:b/>
          <w:b/>
          <w:sz w:val="24"/>
          <w:szCs w:val="24"/>
        </w:rPr>
      </w:pPr>
      <w:bookmarkStart w:id="0" w:name="__DdeLink__136_878887958"/>
      <w:bookmarkEnd w:id="0"/>
      <w:r>
        <w:rPr>
          <w:rFonts w:cs="Calibri"/>
          <w:b/>
          <w:sz w:val="24"/>
          <w:szCs w:val="24"/>
        </w:rPr>
        <w:t>Απάντηση σε δημοσιεύματα για δήθεν μεταβιβάσεις μνημείων στην ΕΤΑΔ</w:t>
      </w:r>
    </w:p>
    <w:p>
      <w:pPr>
        <w:pStyle w:val="Normal"/>
        <w:jc w:val="both"/>
        <w:rPr>
          <w:rFonts w:ascii="Calibri" w:hAnsi="Calibri" w:cs="Calibri"/>
          <w:sz w:val="24"/>
          <w:szCs w:val="24"/>
        </w:rPr>
      </w:pPr>
      <w:r>
        <w:rPr>
          <w:rFonts w:cs="Calibri"/>
          <w:sz w:val="24"/>
          <w:szCs w:val="24"/>
        </w:rPr>
      </w:r>
    </w:p>
    <w:p>
      <w:pPr>
        <w:pStyle w:val="Normal"/>
        <w:spacing w:lineRule="auto" w:line="360" w:before="0" w:after="200"/>
        <w:jc w:val="both"/>
        <w:rPr/>
      </w:pPr>
      <w:r>
        <w:rPr>
          <w:rFonts w:cs="Calibri"/>
          <w:sz w:val="24"/>
          <w:szCs w:val="24"/>
        </w:rPr>
        <w:t xml:space="preserve">Αναφορικά με τη διακίνηση παραπλανητικών και ανακριβών δημοσιευμάτων σχετικά με τη μεταβίβαση του Ενετικού Μνημείου Νεώριου </w:t>
      </w:r>
      <w:r>
        <w:rPr>
          <w:rFonts w:cs="Calibri"/>
          <w:sz w:val="24"/>
          <w:szCs w:val="24"/>
          <w:lang w:val="en-US"/>
        </w:rPr>
        <w:t>Moro</w:t>
      </w:r>
      <w:r>
        <w:rPr>
          <w:rFonts w:cs="Calibri"/>
          <w:sz w:val="24"/>
          <w:szCs w:val="24"/>
        </w:rPr>
        <w:t xml:space="preserve"> στην ΕΤΑΔ ΑΕ, δυνάμει της υπ’ αριθμ. ΥΠΟΙΚ 0004586 ΕΞ 2018 (ΦΕΚ Β 2320/19.06.2018) Απόφασης του Υπουργού Οικονομικών, διευκρινίζουμε τα κάτωθι, αποκαθιστώντας την αλήθεια. </w:t>
      </w:r>
    </w:p>
    <w:p>
      <w:pPr>
        <w:pStyle w:val="Normal"/>
        <w:spacing w:lineRule="auto" w:line="360" w:before="0" w:after="200"/>
        <w:jc w:val="both"/>
        <w:rPr>
          <w:rFonts w:ascii="Calibri" w:hAnsi="Calibri" w:cs="Calibri"/>
          <w:sz w:val="24"/>
          <w:szCs w:val="24"/>
        </w:rPr>
      </w:pPr>
      <w:r>
        <w:rPr>
          <w:rFonts w:cs="Calibri"/>
          <w:sz w:val="24"/>
          <w:szCs w:val="24"/>
        </w:rPr>
        <w:t xml:space="preserve">Το δημόσιο ακίνητο, ενετικό μνημείο, Νεώριο </w:t>
      </w:r>
      <w:r>
        <w:rPr>
          <w:rFonts w:cs="Calibri"/>
          <w:sz w:val="24"/>
          <w:szCs w:val="24"/>
          <w:lang w:val="en-US"/>
        </w:rPr>
        <w:t>Moro</w:t>
      </w:r>
      <w:r>
        <w:rPr>
          <w:rFonts w:cs="Calibri"/>
          <w:sz w:val="24"/>
          <w:szCs w:val="24"/>
        </w:rPr>
        <w:t xml:space="preserve">, που βρίσκεται στο λιμάνι των Χανίων, υπαγόταν, δυνάμει του ν. </w:t>
      </w:r>
      <w:r>
        <w:rPr>
          <w:rFonts w:cs="Calibri"/>
          <w:color w:val="212121"/>
          <w:sz w:val="24"/>
          <w:szCs w:val="24"/>
        </w:rPr>
        <w:t xml:space="preserve">973/1979, </w:t>
      </w:r>
      <w:r>
        <w:rPr>
          <w:rFonts w:cs="Calibri"/>
          <w:sz w:val="24"/>
          <w:szCs w:val="24"/>
        </w:rPr>
        <w:t>στη διαχείριση</w:t>
      </w:r>
      <w:r>
        <w:rPr>
          <w:rFonts w:cs="Calibri"/>
          <w:b/>
          <w:sz w:val="24"/>
          <w:szCs w:val="24"/>
        </w:rPr>
        <w:t xml:space="preserve"> </w:t>
      </w:r>
      <w:r>
        <w:rPr>
          <w:rFonts w:cs="Calibri"/>
          <w:sz w:val="24"/>
          <w:szCs w:val="24"/>
        </w:rPr>
        <w:t xml:space="preserve">της Κτηματικής Εταιρείας του Δημοσίου (ΚΕΔ), η οποία με διατάξεις του ν. 4002/2011 συγχωνεύτηκε δι’ απορροφήσεως με την Εταιρεία Ακινήτων Δημοσίου (ΕΤΑΔ ΑΕ). </w:t>
      </w:r>
    </w:p>
    <w:p>
      <w:pPr>
        <w:pStyle w:val="Normal"/>
        <w:spacing w:lineRule="auto" w:line="360" w:before="0" w:after="200"/>
        <w:jc w:val="both"/>
        <w:rPr>
          <w:rFonts w:ascii="Calibri" w:hAnsi="Calibri" w:cs="Calibri"/>
          <w:color w:val="212121"/>
          <w:sz w:val="24"/>
          <w:szCs w:val="24"/>
        </w:rPr>
      </w:pPr>
      <w:r>
        <w:rPr>
          <w:rFonts w:cs="Calibri"/>
          <w:sz w:val="24"/>
          <w:szCs w:val="24"/>
        </w:rPr>
        <w:t>Ήδη από το έτος 2003 η ΚΕΔ είχε παραχωρήσει κατά χρήση το παραπάνω ακίνητο στο Δήμο Χανίων με σκοπό την αποκατάστασή του και τη δι</w:t>
      </w:r>
      <w:bookmarkStart w:id="1" w:name="_GoBack"/>
      <w:bookmarkEnd w:id="1"/>
      <w:r>
        <w:rPr>
          <w:rFonts w:cs="Calibri"/>
          <w:sz w:val="24"/>
          <w:szCs w:val="24"/>
        </w:rPr>
        <w:t>αμόρφωση</w:t>
      </w:r>
      <w:r>
        <w:rPr>
          <w:rFonts w:cs="Calibri"/>
          <w:sz w:val="24"/>
          <w:szCs w:val="24"/>
          <w:lang w:val="en-US"/>
        </w:rPr>
        <w:t xml:space="preserve"> </w:t>
      </w:r>
      <w:r>
        <w:rPr>
          <w:rFonts w:cs="Calibri"/>
          <w:sz w:val="24"/>
          <w:szCs w:val="24"/>
          <w:lang w:val="el-GR"/>
        </w:rPr>
        <w:t>-</w:t>
      </w:r>
      <w:r>
        <w:rPr>
          <w:rFonts w:cs="Calibri"/>
          <w:sz w:val="24"/>
          <w:szCs w:val="24"/>
          <w:lang w:val="en-US"/>
        </w:rPr>
        <w:t xml:space="preserve"> </w:t>
      </w:r>
      <w:r>
        <w:rPr>
          <w:rFonts w:cs="Calibri"/>
          <w:sz w:val="24"/>
          <w:szCs w:val="24"/>
        </w:rPr>
        <w:t xml:space="preserve">ανάδειξη του περιβάλλοντα χώρου για τη δημιουργία Κέντρου Ιστιοπλοΐας, υπό τον όρο της σχετικής έγκρισης του Υπουργείου Πολιτισμού και της καταβολής ανταλλάγματος ίσου με ποσοστό 4% επί της αξίας του ακινήτου από τον Ιστιοπλοϊκό Όμιλο Χανίων. Την παραχώρηση ενέκρινε, υπό όρους, ο τότε Υπουργός Πολιτισμού κατόπιν γνώμης του Κεντρικού Αρχαιολογικού Συμβουλίου με την υπ’ αρ. </w:t>
      </w:r>
      <w:r>
        <w:rPr>
          <w:rFonts w:cs="Calibri"/>
          <w:color w:val="212121"/>
          <w:sz w:val="24"/>
          <w:szCs w:val="24"/>
        </w:rPr>
        <w:t>ΥΠΠΟ/ΓΔΑ&amp;ΠΚ/ΑΡΧ/Β1/Φ38/63171/5027/11.11.2003 Υπουργική Απόφαση.</w:t>
      </w:r>
    </w:p>
    <w:p>
      <w:pPr>
        <w:pStyle w:val="Normal"/>
        <w:spacing w:lineRule="auto" w:line="360" w:before="0" w:after="200"/>
        <w:jc w:val="both"/>
        <w:rPr>
          <w:rFonts w:ascii="Calibri" w:hAnsi="Calibri" w:cs="Calibri"/>
          <w:sz w:val="24"/>
          <w:szCs w:val="24"/>
        </w:rPr>
      </w:pPr>
      <w:r>
        <w:rPr>
          <w:rFonts w:cs="Calibri"/>
          <w:sz w:val="24"/>
          <w:szCs w:val="24"/>
        </w:rPr>
        <w:t xml:space="preserve">Κατά το έτος 2005, το μηνιαίο μίσθωμα ορίσθηκε στο ποσό των 735 </w:t>
      </w:r>
      <w:r>
        <w:rPr>
          <w:rFonts w:cs="Calibri"/>
          <w:sz w:val="24"/>
          <w:szCs w:val="24"/>
          <w:lang w:val="el-GR"/>
        </w:rPr>
        <w:t>Ε</w:t>
      </w:r>
      <w:r>
        <w:rPr>
          <w:rFonts w:cs="Calibri"/>
          <w:sz w:val="24"/>
          <w:szCs w:val="24"/>
        </w:rPr>
        <w:t>υρώ μετά την αποκατάσταση του κτίσματος, ενώ κατά το ίδιο έτος η ΚΕΔ ενέκρινε την λειτουργία εντευκτηρίου - κυλικείου. Στις 9-6-2010</w:t>
      </w:r>
      <w:r>
        <w:rPr>
          <w:rFonts w:cs="Calibri"/>
          <w:sz w:val="24"/>
          <w:szCs w:val="24"/>
          <w:lang w:val="en-US"/>
        </w:rPr>
        <w:t xml:space="preserve">  </w:t>
      </w:r>
      <w:r>
        <w:rPr>
          <w:rFonts w:cs="Calibri"/>
          <w:sz w:val="24"/>
          <w:szCs w:val="24"/>
        </w:rPr>
        <w:t xml:space="preserve">η χρήση του </w:t>
      </w:r>
      <w:r>
        <w:rPr>
          <w:rFonts w:cs="Calibri"/>
          <w:sz w:val="24"/>
          <w:szCs w:val="24"/>
          <w:lang w:val="el-GR"/>
        </w:rPr>
        <w:t>Ν</w:t>
      </w:r>
      <w:r>
        <w:rPr>
          <w:rFonts w:cs="Calibri"/>
          <w:sz w:val="24"/>
          <w:szCs w:val="24"/>
        </w:rPr>
        <w:t>εωρίου</w:t>
      </w:r>
      <w:r>
        <w:rPr>
          <w:rFonts w:cs="Calibri"/>
          <w:sz w:val="24"/>
          <w:szCs w:val="24"/>
          <w:lang w:val="el-GR"/>
        </w:rPr>
        <w:t xml:space="preserve"> </w:t>
      </w:r>
      <w:r>
        <w:rPr>
          <w:rFonts w:cs="Calibri"/>
          <w:sz w:val="24"/>
          <w:szCs w:val="24"/>
          <w:lang w:val="en-US"/>
        </w:rPr>
        <w:t>Moro</w:t>
      </w:r>
      <w:r>
        <w:rPr>
          <w:rFonts w:cs="Calibri"/>
          <w:sz w:val="24"/>
          <w:szCs w:val="24"/>
        </w:rPr>
        <w:t xml:space="preserve"> παραχωρήθηκε από το</w:t>
      </w:r>
      <w:r>
        <w:rPr>
          <w:rFonts w:cs="Calibri"/>
          <w:sz w:val="24"/>
          <w:szCs w:val="24"/>
          <w:lang w:val="el-GR"/>
        </w:rPr>
        <w:t>ν</w:t>
      </w:r>
      <w:r>
        <w:rPr>
          <w:rFonts w:cs="Calibri"/>
          <w:sz w:val="24"/>
          <w:szCs w:val="24"/>
        </w:rPr>
        <w:t xml:space="preserve"> Δήμο Χανίων στον Ιστιοπλοϊκό Όμιλο με την πρόβλεψη ότι το μίσθωμα θα καταβάλλεται στην ΚΕΔ, η οποία, όπως προαναφέρθηκε, στη συνέχεια απορροφήθηκε από την ΕΤΑΔ.</w:t>
      </w:r>
    </w:p>
    <w:p>
      <w:pPr>
        <w:pStyle w:val="Normal"/>
        <w:spacing w:lineRule="auto" w:line="360" w:before="0" w:after="200"/>
        <w:jc w:val="both"/>
        <w:rPr>
          <w:rFonts w:ascii="Calibri" w:hAnsi="Calibri" w:cs="Calibri"/>
          <w:sz w:val="24"/>
          <w:szCs w:val="24"/>
        </w:rPr>
      </w:pPr>
      <w:r>
        <w:rPr>
          <w:rFonts w:cs="Calibri"/>
          <w:sz w:val="24"/>
          <w:szCs w:val="24"/>
        </w:rPr>
        <w:t xml:space="preserve">Ήδη από το δημοσιευθέν έγγραφο της ΕΤΑΔ ΑΕ προς τον Ιστιοπλοϊκό Όμιλο Χανίων προκύπτει ευθέως ότι τα ακίνητα της ΚΕΔ περιήλθαν στην ΕΤΑΔ κατά το έτος 2011 με την συγχώνευση των εταιρειών και ότι οφείλονται σε αυτή μισθώματα ήδη από 28.05.2016, δηλαδή δύο χρόνια πριν την απόφαση του Υπουργού Οικονομικών. </w:t>
      </w:r>
    </w:p>
    <w:p>
      <w:pPr>
        <w:pStyle w:val="Normal"/>
        <w:spacing w:lineRule="auto" w:line="360" w:before="0" w:after="200"/>
        <w:jc w:val="both"/>
        <w:rPr/>
      </w:pPr>
      <w:r>
        <w:rPr>
          <w:rFonts w:cs="Calibri"/>
          <w:sz w:val="24"/>
          <w:szCs w:val="24"/>
        </w:rPr>
        <w:t>Καμία πράξη μεταβίβασης ή άσκησης διαχείρισης δεν έχει επιχειρηθεί και δεν πρόκειται να επιχειρηθεί από την ΕΤΑΔ για τον κατάλογο των 10.119</w:t>
      </w:r>
      <w:r>
        <w:rPr>
          <w:rFonts w:cs="Calibri"/>
          <w:sz w:val="24"/>
          <w:szCs w:val="24"/>
          <w:lang w:val="en-US"/>
        </w:rPr>
        <w:t xml:space="preserve"> </w:t>
      </w:r>
      <w:r>
        <w:rPr>
          <w:rFonts w:cs="Calibri"/>
          <w:sz w:val="24"/>
          <w:szCs w:val="24"/>
        </w:rPr>
        <w:t>Κωδικών</w:t>
      </w:r>
      <w:r>
        <w:rPr>
          <w:rFonts w:cs="Calibri"/>
          <w:sz w:val="24"/>
          <w:szCs w:val="24"/>
          <w:lang w:val="el-GR"/>
        </w:rPr>
        <w:t xml:space="preserve"> </w:t>
      </w:r>
      <w:r>
        <w:rPr>
          <w:rFonts w:cs="Calibri"/>
          <w:sz w:val="24"/>
          <w:szCs w:val="24"/>
        </w:rPr>
        <w:t>Αριθμών Εθνικού Κτηματολογίου, πριν ολοκληρωθεί η ταυτοποίηση των εξαιρουμένων ακινήτων, που διενεργείται από τις Υπηρεσίες του Υπουργείου Πολιτισμού και άλλων φορέων. Ακολουθεί, εξάλλου, αντίστοιχος έλεγχος και για τον κατάλογο των περίπου 72.000 ακινήτων που έχει βρεθεί να διαχειρίζεται η ΕΤΑΔ από το παρελθόν.</w:t>
      </w:r>
    </w:p>
    <w:p>
      <w:pPr>
        <w:pStyle w:val="Normal"/>
        <w:spacing w:lineRule="auto" w:line="360" w:before="0" w:after="200"/>
        <w:jc w:val="both"/>
        <w:rPr/>
      </w:pPr>
      <w:r>
        <w:rPr>
          <w:rFonts w:cs="Calibri"/>
          <w:sz w:val="24"/>
          <w:szCs w:val="24"/>
        </w:rPr>
        <w:t>Επαναλαμβάνουμε, λοιπόν, για μια ακόμη φορά, ότι καμία μεταβίβαση κατά κυριότητα ή διαχείριση ακινήτου που εξυπηρετεί το δημόσιο σκοπό της προστασίας και ανάδειξης της πολιτιστικής κληρονομιάς δεν έχει γίνει ούτε πρόκειται να γίνει στο πλαίσιο της Υπουργικής Απόφασης του Υπουργείου Οικονομικών.</w:t>
      </w:r>
    </w:p>
    <w:sectPr>
      <w:footerReference w:type="default" r:id="rId3"/>
      <w:type w:val="nextPage"/>
      <w:pgSz w:w="11906" w:h="16838"/>
      <w:pgMar w:left="1800" w:right="1800" w:header="0" w:top="1440" w:footer="708"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01"/>
    <w:family w:val="swiss"/>
    <w:pitch w:val="default"/>
  </w:font>
  <w:font w:name="Calibri">
    <w:charset w:val="01"/>
    <w:family w:val="swiss"/>
    <w:pitch w:val="default"/>
  </w:font>
  <w:font w:name="Arial Unicode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center"/>
      <w:rPr/>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10"/>
  <w:defaultTabStop w:val="7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Calibri" w:hAnsi="Calibri"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rPr>
  </w:style>
  <w:style w:type="paragraph" w:styleId="Footer">
    <w:name w:val="Footer"/>
    <w:basedOn w:val="Normal"/>
    <w:uiPriority w:val="99"/>
    <w:semiHidden/>
    <w:unhideWhenUsed/>
    <w:pPr>
      <w:tabs>
        <w:tab w:val="center" w:pos="4153" w:leader="none"/>
        <w:tab w:val="right" w:pos="8306" w:leader="none"/>
      </w:tabs>
      <w:snapToGrid w:val="false"/>
      <w:jc w:val="left"/>
    </w:pPr>
    <w:rPr>
      <w:sz w:val="18"/>
      <w:szCs w:val="18"/>
    </w:rPr>
  </w:style>
  <w:style w:type="paragraph" w:styleId="Header">
    <w:name w:val="Header"/>
    <w:basedOn w:val="Normal"/>
    <w:uiPriority w:val="99"/>
    <w:semiHidden/>
    <w:unhideWhenUsed/>
    <w:qFormat/>
    <w:pPr>
      <w:tabs>
        <w:tab w:val="center" w:pos="4153" w:leader="none"/>
        <w:tab w:val="right" w:pos="8306" w:leader="none"/>
      </w:tabs>
      <w:snapToGrid w:val="false"/>
    </w:pPr>
    <w:rPr>
      <w:sz w:val="18"/>
      <w:szCs w:val="18"/>
    </w:rPr>
  </w:style>
  <w:style w:type="paragraph" w:styleId="1" w:customStyle="1">
    <w:name w:val="Βασικό1"/>
    <w:basedOn w:val="Normal"/>
    <w:uiPriority w:val="7"/>
    <w:qFormat/>
    <w:pPr>
      <w:spacing w:lineRule="auto" w:line="240" w:beforeAutospacing="1" w:afterAutospacing="1"/>
    </w:pPr>
    <w:rPr>
      <w:rFonts w:ascii="Arial Unicode MS" w:hAnsi="Arial Unicode MS" w:eastAsia="Arial Unicode MS" w:cs="Arial Unicode MS"/>
      <w:sz w:val="24"/>
      <w:szCs w:val="24"/>
      <w:lang w:eastAsia="el-GR"/>
    </w:rPr>
  </w:style>
  <w:style w:type="paragraph" w:styleId="FrameContents">
    <w:name w:val="Frame Contents"/>
    <w:basedOn w:val="Normal"/>
    <w:qFormat/>
    <w:pPr/>
    <w:rPr/>
  </w:style>
  <w:style w:type="table" w:default="1" w:styleId="5">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customXml" Target="../customXml/item1.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BB24B6D-09D1-485B-BAC7-56737160FDC0}"/>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46F91015-7843-47B4-8144-FDD1FA55C8D1}"/>
</file>

<file path=customXml/itemProps4.xml><?xml version="1.0" encoding="utf-8"?>
<ds:datastoreItem xmlns:ds="http://schemas.openxmlformats.org/officeDocument/2006/customXml" ds:itemID="{A242711B-D0DB-4DDF-B0B9-C35E0D8C2C25}"/>
</file>

<file path=docProps/app.xml><?xml version="1.0" encoding="utf-8"?>
<Properties xmlns="http://schemas.openxmlformats.org/officeDocument/2006/extended-properties" xmlns:vt="http://schemas.openxmlformats.org/officeDocument/2006/docPropsVTypes">
  <Template>Normal</Template>
  <TotalTime>9</TotalTime>
  <Application>LibreOffice/5.3.7.2$Windows_X86_64 LibreOffice_project/6b8ed514a9f8b44d37a1b96673cbbdd077e24059</Application>
  <Pages>2</Pages>
  <Words>417</Words>
  <Characters>2414</Characters>
  <CharactersWithSpaces>2821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σε δημοσιεύματα για δήθεν μεταβιβάσεις μνημείων στην ΕΤΑΔ</dc:title>
  <dc:subject/>
  <dc:creator>tsalapatis thomas</dc:creator>
  <dc:description/>
  <cp:lastModifiedBy/>
  <cp:revision>4</cp:revision>
  <dcterms:created xsi:type="dcterms:W3CDTF">2018-10-22T11:55:00Z</dcterms:created>
  <dcterms:modified xsi:type="dcterms:W3CDTF">2018-10-23T20:12:25Z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1033-10.2.0.7516</vt:lpwstr>
  </property>
  <property fmtid="{D5CDD505-2E9C-101B-9397-08002B2CF9AE}" pid="4" name="LinksUpToDate">
    <vt:bool>false</vt:bool>
  </property>
  <property fmtid="{D5CDD505-2E9C-101B-9397-08002B2CF9AE}" pid="5" name="ScaleCrop">
    <vt:bool>false</vt:bool>
  </property>
  <property fmtid="{D5CDD505-2E9C-101B-9397-08002B2CF9AE}" pid="6" name="ContentTypeId">
    <vt:lpwstr>0x01010083D890F2F5BE644981A254C8A4FE6820</vt:lpwstr>
  </property>
</Properties>
</file>